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eastAsia"/>
          <w:sz w:val="40"/>
          <w:szCs w:val="22"/>
          <w:lang w:val="en-US" w:eastAsia="zh-CN"/>
        </w:rPr>
      </w:pPr>
      <w:bookmarkStart w:id="0" w:name="_GoBack"/>
      <w:r>
        <w:rPr>
          <w:rFonts w:hint="eastAsia"/>
          <w:sz w:val="40"/>
          <w:szCs w:val="22"/>
          <w:lang w:val="en-US" w:eastAsia="zh-CN"/>
        </w:rPr>
        <w:t>2024年中国体育仲裁委员会研究咨询项目目录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344"/>
        <w:gridCol w:w="3761"/>
        <w:gridCol w:w="1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一、重点项目（1个）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研究重点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项目承接人确定方式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足球领域复合型纠纷的体育仲裁管辖依据、处理方式和裁决思路研究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全面梳理足球领域复合型纠纷的类型，对相应纠纷提出体育仲裁管辖的依据、理论支撑及现实的可行性，梳理出不同纠纷项下体育仲裁处理方式及裁决的思路。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（项目编号：2024B01）</w:t>
            </w:r>
          </w:p>
        </w:tc>
      </w:tr>
      <w:tr>
        <w:tblPrEx>
          <w:tblLayout w:type="fixed"/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二、一般项目（5个）</w:t>
            </w:r>
          </w:p>
        </w:tc>
      </w:tr>
      <w:tr>
        <w:tblPrEx>
          <w:tblLayout w:type="fixed"/>
        </w:tblPrEx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《体育仲裁规则》制度规范研究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全面梳理《体育仲裁规则》制度实施问题，结合体育仲裁实践需要，提出进一步完善《体育仲裁规则》的方案。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（项目编号：2024C01）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制定《体育仲裁调解规则》研究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梳理体育仲裁调解适用范围，通过体育仲裁实践进一步完善体育仲裁调解制度规范，提出《体育仲裁调解规则》草案。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（项目编号：2024C02）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职业足球青训补偿合同纠纷裁判要点研究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梳理职业足球领域中青训补偿合同纠纷，研究提出体育仲裁的审查要点及裁决思路。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（项目编号：2024C03）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足球领域中纪律处罚纠纷的仲裁裁决研究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研究分析我国足球领域中涉及的纪律处罚纠纷类型，提出有针对性的仲裁审查要点和裁决模式，并对纪律处罚类裁决的执行路径进行梳理研究。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（项目编号：2024B04）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体育仲裁的自裁管辖权范围和依据研究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研究分析中国体育仲裁委员会的自裁管辖权范围和依据，梳理分析《体育法》第92条与第96条的适用关系，提出体育仲裁委员会适用自裁管辖的边界。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（项目编号：2024C05）</w:t>
            </w:r>
          </w:p>
        </w:tc>
      </w:tr>
    </w:tbl>
    <w:p>
      <w:pPr>
        <w:rPr>
          <w:sz w:val="34"/>
          <w:szCs w:val="34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00000000" w:usb1="00000000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2024-04-03T16:45:41Z</dcterms:created>
  <dc:creator>iPhone</dc:creator>
  <cp:lastModifiedBy>iPhone</cp:lastModifiedBy>
  <dcterms:modified xsi:type="dcterms:W3CDTF">2024-04-03T16:46:32Z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E7A85D990062D8F935170D6686971C0E_31</vt:lpwstr>
  </property>
</Properties>
</file>